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30" w:lineRule="atLeast"/>
        <w:jc w:val="center"/>
        <w:textAlignment w:val="baseline"/>
        <w:outlineLvl w:val="1"/>
        <w:rPr>
          <w:rFonts w:ascii="Arial" w:hAnsi="Arial" w:eastAsia="Times New Roman" w:cs="Arial"/>
          <w:b/>
          <w:bCs/>
          <w:color w:val="444444"/>
          <w:sz w:val="24"/>
          <w:szCs w:val="24"/>
          <w:lang w:eastAsia="ru-RU"/>
        </w:rPr>
      </w:pPr>
      <w:bookmarkStart w:id="0" w:name="_GoBack"/>
      <w:bookmarkEnd w:id="0"/>
      <w:r>
        <w:rPr>
          <w:rFonts w:ascii="Arial" w:hAnsi="Arial" w:eastAsia="Times New Roman" w:cs="Arial"/>
          <w:b/>
          <w:bCs/>
          <w:color w:val="444444"/>
          <w:sz w:val="24"/>
          <w:szCs w:val="24"/>
          <w:lang w:eastAsia="ru-RU"/>
        </w:rPr>
        <w:t>ПРАВИТЕЛЬСТВО ТУЛЬСКОЙ ОБЛАСТИ</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РАСПОРЯЖЕНИЕ</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от 31 января 2024 года N 47-р</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 региональном плане по реализации в 2024 году в Тульской области Стратегии противодействия экстремизму в российской Федерации до 2025 года</w:t>
      </w:r>
    </w:p>
    <w:p>
      <w:pPr>
        <w:spacing w:after="0" w:line="330" w:lineRule="atLeas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целях реализации </w:t>
      </w:r>
      <w:r>
        <w:fldChar w:fldCharType="begin"/>
      </w:r>
      <w:r>
        <w:instrText xml:space="preserve"> HYPERLINK "https://docs.cntd.ru/document/564995688" \l "6540IN" </w:instrText>
      </w:r>
      <w:r>
        <w:fldChar w:fldCharType="separate"/>
      </w:r>
      <w:r>
        <w:rPr>
          <w:rFonts w:ascii="Arial" w:hAnsi="Arial" w:eastAsia="Times New Roman" w:cs="Arial"/>
          <w:color w:val="0000FF"/>
          <w:sz w:val="24"/>
          <w:szCs w:val="24"/>
          <w:u w:val="single"/>
          <w:lang w:eastAsia="ru-RU"/>
        </w:rPr>
        <w:t>Стратегии противодействия экстремизму в Российской Федерации до 2025 года</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утвержденной </w:t>
      </w:r>
      <w:r>
        <w:fldChar w:fldCharType="begin"/>
      </w:r>
      <w:r>
        <w:instrText xml:space="preserve"> HYPERLINK "https://docs.cntd.ru/document/564995688" \l "64U0IK" </w:instrText>
      </w:r>
      <w:r>
        <w:fldChar w:fldCharType="separate"/>
      </w:r>
      <w:r>
        <w:rPr>
          <w:rFonts w:ascii="Arial" w:hAnsi="Arial" w:eastAsia="Times New Roman" w:cs="Arial"/>
          <w:color w:val="0000FF"/>
          <w:sz w:val="24"/>
          <w:szCs w:val="24"/>
          <w:u w:val="single"/>
          <w:lang w:eastAsia="ru-RU"/>
        </w:rPr>
        <w:t>Указом Президента Российской Федерации от 29 мая 2020 года N 344</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на основании статьи 46 </w:t>
      </w:r>
      <w:r>
        <w:fldChar w:fldCharType="begin"/>
      </w:r>
      <w:r>
        <w:instrText xml:space="preserve"> HYPERLINK "https://docs.cntd.ru/document/406073769" \l "64U0IK" </w:instrText>
      </w:r>
      <w:r>
        <w:fldChar w:fldCharType="separate"/>
      </w:r>
      <w:r>
        <w:rPr>
          <w:rFonts w:ascii="Arial" w:hAnsi="Arial" w:eastAsia="Times New Roman" w:cs="Arial"/>
          <w:color w:val="0000FF"/>
          <w:sz w:val="24"/>
          <w:szCs w:val="24"/>
          <w:u w:val="single"/>
          <w:lang w:eastAsia="ru-RU"/>
        </w:rPr>
        <w:t>Устава (Основного Закона) Тульской области</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Утвердить региональный план по реализации в 2024 году в Тульской области Стратегии противодействия экстремизму в Российской Федерации до 2025 года (далее - План) (приложение).</w:t>
      </w:r>
      <w:r>
        <w:rPr>
          <w:rFonts w:ascii="Arial" w:hAnsi="Arial" w:eastAsia="Times New Roman" w:cs="Arial"/>
          <w:color w:val="444444"/>
          <w:sz w:val="24"/>
          <w:szCs w:val="24"/>
          <w:lang w:eastAsia="ru-RU"/>
        </w:rPr>
        <w:br w:type="textWrapping"/>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Ответственным исполнителям мероприятий Плана, за исключением Управления Федеральной службы безопасности Российской Федерации по Тульской области, представлять в министерство по региональной безопасности Тульской области отчеты о ходе их выполнения ежеквартально до 10-го числа месяца, следующего за отчетным кварталом.</w:t>
      </w:r>
      <w:r>
        <w:rPr>
          <w:rFonts w:ascii="Arial" w:hAnsi="Arial" w:eastAsia="Times New Roman" w:cs="Arial"/>
          <w:color w:val="444444"/>
          <w:sz w:val="24"/>
          <w:szCs w:val="24"/>
          <w:lang w:eastAsia="ru-RU"/>
        </w:rPr>
        <w:br w:type="textWrapping"/>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Рекомендовать органам местного самоуправления в Тульской области разработать и утвердить муниципальные планы по реализации в 2024 году Стратегии противодействия экстремизму в Российской Федерации до 2025 года.</w:t>
      </w:r>
      <w:r>
        <w:rPr>
          <w:rFonts w:ascii="Arial" w:hAnsi="Arial" w:eastAsia="Times New Roman" w:cs="Arial"/>
          <w:color w:val="444444"/>
          <w:sz w:val="24"/>
          <w:szCs w:val="24"/>
          <w:lang w:eastAsia="ru-RU"/>
        </w:rPr>
        <w:br w:type="textWrapping"/>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 Признать утратившими силу пункты 1 - 3 </w:t>
      </w:r>
      <w:r>
        <w:fldChar w:fldCharType="begin"/>
      </w:r>
      <w:r>
        <w:instrText xml:space="preserve"> HYPERLINK "https://docs.cntd.ru/document/570996118" \l "64U0IK" </w:instrText>
      </w:r>
      <w:r>
        <w:fldChar w:fldCharType="separate"/>
      </w:r>
      <w:r>
        <w:rPr>
          <w:rFonts w:ascii="Arial" w:hAnsi="Arial" w:eastAsia="Times New Roman" w:cs="Arial"/>
          <w:color w:val="0000FF"/>
          <w:sz w:val="24"/>
          <w:szCs w:val="24"/>
          <w:u w:val="single"/>
          <w:lang w:eastAsia="ru-RU"/>
        </w:rPr>
        <w:t>распоряжения правительства Тульской области от 16.11.2020 N 877-р "О региональном плане по реализации в 2021 - 2023 годах в Тульской области Стратегии противодействия экстремизму в Российской Федерации до 2025 года"</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5. Контроль за выполнением распоряжения оставляю за собой.</w:t>
      </w:r>
      <w:r>
        <w:rPr>
          <w:rFonts w:ascii="Arial" w:hAnsi="Arial" w:eastAsia="Times New Roman" w:cs="Arial"/>
          <w:color w:val="444444"/>
          <w:sz w:val="24"/>
          <w:szCs w:val="24"/>
          <w:lang w:eastAsia="ru-RU"/>
        </w:rPr>
        <w:br w:type="textWrapping"/>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 Распоряжение вступает в силу со дня подписания.</w:t>
      </w:r>
      <w:r>
        <w:rPr>
          <w:rFonts w:ascii="Arial" w:hAnsi="Arial" w:eastAsia="Times New Roman" w:cs="Arial"/>
          <w:color w:val="444444"/>
          <w:sz w:val="24"/>
          <w:szCs w:val="24"/>
          <w:lang w:eastAsia="ru-RU"/>
        </w:rPr>
        <w:br w:type="textWrapping"/>
      </w:r>
    </w:p>
    <w:p>
      <w:pPr>
        <w:spacing w:after="0" w:line="330" w:lineRule="atLeast"/>
        <w:jc w:val="righ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Первый заместитель Губернатора</w:t>
      </w: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Тульской области - председатель</w:t>
      </w: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Правительства Тульской области</w:t>
      </w: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В.А.ФЕДОРИЩЕВ</w:t>
      </w:r>
    </w:p>
    <w:p>
      <w:pPr>
        <w:spacing w:after="240" w:line="330" w:lineRule="atLeast"/>
        <w:jc w:val="right"/>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Приложение</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к распоряжению Правительства</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Тульской области</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от 31.01.2024 N 47-р</w:t>
      </w:r>
    </w:p>
    <w:p>
      <w:pPr>
        <w:spacing w:after="24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РЕГИОНАЛЬНЫЙ ПЛАН ПО РЕАЛИЗАЦИИ В 2024 ГОДУ В ТУЛЬСКОЙ ОБЛАСТИ СТРАТЕГИИ ПРОТИВОДЕЙСТВИЯ ЭКСТРЕМИЗМУ В РОССИЙСКОЙ ФЕДЕРАЦИИ ДО 2025 ГОДА</w:t>
      </w:r>
      <w:r>
        <w:rPr>
          <w:rFonts w:ascii="Arial" w:hAnsi="Arial" w:eastAsia="Times New Roman" w:cs="Arial"/>
          <w:b/>
          <w:bCs/>
          <w:color w:val="444444"/>
          <w:sz w:val="24"/>
          <w:szCs w:val="24"/>
          <w:lang w:eastAsia="ru-RU"/>
        </w:rPr>
        <w:br w:type="textWrapping"/>
      </w:r>
    </w:p>
    <w:tbl>
      <w:tblPr>
        <w:tblStyle w:val="3"/>
        <w:tblW w:w="0" w:type="auto"/>
        <w:tblInd w:w="0" w:type="dxa"/>
        <w:tblLayout w:type="autofit"/>
        <w:tblCellMar>
          <w:top w:w="0" w:type="dxa"/>
          <w:left w:w="0" w:type="dxa"/>
          <w:bottom w:w="0" w:type="dxa"/>
          <w:right w:w="0" w:type="dxa"/>
        </w:tblCellMar>
      </w:tblPr>
      <w:tblGrid>
        <w:gridCol w:w="598"/>
        <w:gridCol w:w="3078"/>
        <w:gridCol w:w="1504"/>
        <w:gridCol w:w="4175"/>
      </w:tblGrid>
      <w:tr>
        <w:tblPrEx>
          <w:tblCellMar>
            <w:top w:w="0" w:type="dxa"/>
            <w:left w:w="0" w:type="dxa"/>
            <w:bottom w:w="0" w:type="dxa"/>
            <w:right w:w="0" w:type="dxa"/>
          </w:tblCellMar>
        </w:tblPrEx>
        <w:trPr>
          <w:trHeight w:val="15" w:hRule="atLeast"/>
        </w:trPr>
        <w:tc>
          <w:tcPr>
            <w:tcW w:w="5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
                <w:szCs w:val="24"/>
                <w:lang w:eastAsia="ru-RU"/>
              </w:rPr>
            </w:pPr>
          </w:p>
        </w:tc>
        <w:tc>
          <w:tcPr>
            <w:tcW w:w="3142"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
                <w:szCs w:val="24"/>
                <w:lang w:eastAsia="ru-RU"/>
              </w:rPr>
            </w:pPr>
          </w:p>
        </w:tc>
        <w:tc>
          <w:tcPr>
            <w:tcW w:w="129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
                <w:szCs w:val="24"/>
                <w:lang w:eastAsia="ru-RU"/>
              </w:rPr>
            </w:pPr>
          </w:p>
        </w:tc>
        <w:tc>
          <w:tcPr>
            <w:tcW w:w="4435"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
                <w:szCs w:val="24"/>
                <w:lang w:eastAsia="ru-RU"/>
              </w:rPr>
            </w:pPr>
          </w:p>
        </w:tc>
      </w:tr>
      <w:tr>
        <w:tblPrEx>
          <w:tblCellMar>
            <w:top w:w="0" w:type="dxa"/>
            <w:left w:w="0" w:type="dxa"/>
            <w:bottom w:w="0" w:type="dxa"/>
            <w:right w:w="0" w:type="dxa"/>
          </w:tblCellMar>
        </w:tblPrEx>
        <w:tc>
          <w:tcPr>
            <w:tcW w:w="369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мероприятия</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Срок исполнения</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Ответственный исполнитель</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Мероприятия в сфере законодательной деятельности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эффективного применения норм законодательства Российской Федерации в сфере противодействия экстремизму</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Прокуратура Тульской области (по согласованию), Управление Министерства внутренних дел Российской Федерации по Тульской области (далее - УМВД России по Тульской области) (по согласованию), Управление Федеральной службы безопасности Российской Федерации по Тульской области (далее - УФСБ России по Тульской области) (по согласованию), следственное управление Следственного комитета Российской Федерации по Тульской области (далее -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Управление Министерства юстиции Российской Федерации по Тульской области (далее - Управление Минюста России по Тульской области) (по согласованию), министерство по региональной безопасности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мониторинга правоприменительной практики в сфере противодействия экстремизму</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Прокуратура Тульской области (по согласованию), 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министерство по региональной безопасности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Выработка предложений по совершенствованию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по региональной безопасности Тульской области, 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прокуратура Тульской области (по согласованию), Управление Минюста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Совершенствование механизмов противодействия деструктивной деятельности иностранных или международных неправительственных организаций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УФСБ России по Тульской области (по согласованию), УМВД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Реализация на региональном и муниципальном уровнях соответствующих государственных программ, предусматривающих формирование системы профилактики экстремизма и терроризма, предупреждения межнациональных (межэтнических) конфликтов</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по региональной безопасности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национального, социально-культурного, религиозного и регионального факторов</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по региональной безопасности Тульской области, министерство внутренней политики и развития местного самоуправления в Тульской области</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Мероприятия в сфере правоохранительной деятельности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Координация деятельности правоохранительных органов, органов исполнительной власти Тульской области, органов местного самоуправления в Тульской области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по региональной безопасности Тульской области, министерство внутренней политики и развития местного самоуправления в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незамедлительного реагирования на негативные проявления в национальной сфере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работы по выявлению и раскрытию преступлений, совершенных по мотивам национальной, расовой, религиозной ненависти или вражды, а также пресечению противоправной деятельности отдельных лиц, членов организаций, объединений, движений и групп, занимающихся распространением экстремистской идеологии, совершающих действия экстремистской направленности и вовлекающих граждан в противоправную деятельность</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Осуществление работы, направленной на выявление организаций и объединений, деятельность которых содержит признаки экстремизма, с последующим сбором и представлением в суды материалов для признания в судебном порядке указанных организаций и объединений экстремистскими и запрещения их деятельности на территории Российской Федерации. Проведение мероприятия по проверке вновь регистрируемых на территории Тульской области молодежных, национальных общественных объединений и религиозных организаций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прокуратура Тульской области (по согласованию), Управление Минюста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Осуществление мероприятий, направленных на выявление, предупреждение и пресечение противоправной деятельности организаций, группировок и отдельных лиц, планирующих осуществление экстремистских акций в ходе проведения собраний, митингов, демонстраций, шествий, спортивных и других мероприятий на территории Тульской области, а также организаций и лиц, использующих протестный потенциал населения для дестабилизации общественно-политической ситуации в регионе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Осуществление межведомственного обмена информацией о выявленных фактах проявлений экстремизма на национальной и религиозной почве в целях выработки и принятия своевременных решений по недопущению дестабилизации обстановки на территории Тульской области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комплекса мероприятий, направленных на выявление и пресечение фактов финансирования экстремистской и террористической деятельности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мониторинга средств массовой информации и информационно-телекоммуникационной сети "Интернет" с целью выявления и реализации информации о замышляемых и подготавливаемых несанкционированных массовых акциях, способных повлечь дестабилизацию обстановки на территории Тульской области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Управление Федеральной службы по надзору в сфере связи, информационных технологий и массовых коммуникаций по Тульской области (по согласованию), прокуратура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комплекса мероприятий, включая мониторинг печатных и электронных средств массовой информации и ресурсов информационно-телекоммуникационной сети "Интернет", направленных на выявление и пресечение противоправной деятельности юридических и физических лиц, осуществляющих изготовление и распространение материалов экстремистского содержания, в целях привлечения к установленной законодательством ответственности этих лиц, недопущения вовлечения граждан в экстремистскую и террористическую деятельность, получения упреждающей информации о предпосылках к массовым акциям экстремистского характера, с последующим информированием органов прокуратуры</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прокуратура Тульской области (по согласованию), министерство молодежной политики Тульской области, министерство по региональной безопасности Тульской области, комитет Тульской области по печати и массовым коммуникациям,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Мероприятия в сфере государственной национальной политики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Осуществление взаимного обмена информацией по вопросам межнациональных отношений между территориальными органами федеральных органов исполнительной власти, органами исполнительной власти Тульской области, органами местного самоуправления в Тульской области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внутренней политики и развития местного самоуправления в Тульской области, 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Управление Минюста России по Тульской области (по согласованию), министерство культуры Тульской области, министерство молодежной политики Тульской области, министерство образования Тульской области, министерство труда и социальной защиты Тульской области, министерство по региональной безопасности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с участием представителей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в Тульской области на базе образовательных организаций высшего образования, среднего профессионального образования, общеобразовательных организаций, а также в землячествах иностранных студентов конференций, лекций и других мероприятий, направленных на профилактику экстремизма в молодежной среде, духовно-нравственное воспитание молодежи, укрепление общероссийского гражданского единства, гармонизацию межнациональных, межэтнических и межконфессиональных отношений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образования Тульской области, комитет по науке и инноватике Тульской области, министерство молодежной политики Тульской области, министерство культуры Тульской области, прокуратура Тульской области (по согласованию), 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Общественная палата Тульской области (по согласованию),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социологических исследований с целью определения состояния и тенденций в сфере межнациональных и межконфессиональных отношений, а также выявления уровня конфликтогенности и конфликтогенных факторов</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внутренней политики и развития местного самоуправления в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проведения и обеспечение участия в обучающих мероприятиях и/или дополнительном профессиональном образовании по дополнительным профессиональным программам по вопросам реализации государственной национальной политики и национальной безопасности Российской Федерации государственных гражданских служащих Тульской области, лиц, замещающих должности, не отнесенные к должностям государственной гражданской службы Тульской области, и/или муниципальных служащих Тульской области, работников органов местного самоуправления в Тульской области, замещающих должности, не отнесенные к должностям муниципальной службы в Тульской области и лиц, замещающих выборные муниципальные должности в Тульской области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внутренней политики и развития местного самоуправления в Тульской области, заместитель председателя Правительства Тульской области, организующий реализацию государственной политики в сфере внутренней политики и развития местного самоуправления в Тульской области, министерство по региональной безопасности Тульской области, главное управление государственной службы и кадров аппарата Правительства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Мероприятия в сфере государственной миграционной политики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контроля за находящимися на территории Тульской области мигрантами в целях недопущения проявления социальной напряженности, создания организованных преступных группировок в их среде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Выявление среди мигрантов, прибывших из стран ближнего и дальнего зарубежья, других регионов Российской Федерации, а также среди нарушителей миграционного законодательства лиц, причастных к экстремистской и террористической деятельности, в том числе распространяющих экстремистские материалы, вовлекающих лиц из числа мигрантов и местного населения в религиозные объединения экстремистского толка, а также членов незаконных вооруженных формирований. Пресечение криминальных и коррупционных проявлений в сфере регулирования миграционных процессов</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предупредительно-профилактических мероприятий в местах компактного проживания и осуществления трудовой деятельности мигрантов из стран с повышенной террористической активностью, направленных на выявление и пресечение каналов нелегальной миграции на территории Тульской области, нарушений ими миграционного законодательства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проверочных мероприятий в отношении иностранных граждан, подавших заявления на участие в Государственной программе по оказанию содействия добровольному переселению в Российскую Федерацию соотечественников, проживающих за рубежом, в установленном порядке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рабочих встреч с руководителями национальных общественных объединений и национально-культурных автономий, осуществляющих свою деятельность на территории Тульской области, с целью содействия адаптации и интеграции мигрантов, формирования конструктивного взаимодействия между мигрантами и принимающим сообществом</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труда и социальной защиты Тульской области, заместитель председателя Правительства Тульской области, организующий реализацию государственной политики в сфере здравоохранения, социальной политики, системы социальных гарантий, льгот и выплат, социальной защиты малоимущих слоев населения, министерство культуры Тульской области, министерство образования Тульской области, УМВД России по Тульской области (по согласованию),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Мероприятия в сфере государственной информационной политики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и обеспечение работы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внутренней политики и развития местного самоуправления в Тульской области, министерство образования Тульской области, министерство культуры Тульской области, министерство труда и социальной защиты Тульской области, министерство молодежной политики Тульской области, министерство по региональной безопасности Тульской области, комитет Тульской области по печати и массовым коммуникациям,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Содействие информационному освещению в региональных и местных средствах массовой информации тематики противодействия экстремизму и терроризму</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размещения во взаимодействии с правоохранительными органами в средствах массовой информации материалов об ответственности за экстремистскую деятельность и участие в деятельности экстремистских структур, о мерах по профилактике экстремизма, в том числе среди молодежи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 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прокуратура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работы по взаимодействию со средствами массовой информации в целях освещения вопросов о миграционной ситуации в Тульской области, об итогах проведения оперативно-профилактических мероприятий, изменениях в миграционном законодательстве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прокуратура Тульской области (по согласованию), комитет Тульской области по печати и массовым коммуникациям</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подготовки и размещения информации антитеррористического и антиэкстремистского содержания на официальных сайтах территориальных органов федеральных органов исполнительной власти, расположенных на территории Тульской области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УФСБ России по Тульской области (по согласованию), СУ </w:t>
            </w:r>
            <w:r>
              <w:fldChar w:fldCharType="begin"/>
            </w:r>
            <w:r>
              <w:instrText xml:space="preserve"> HYPERLINK "https://docs.cntd.ru/document/9015517" \l "64U0IK" </w:instrText>
            </w:r>
            <w:r>
              <w:fldChar w:fldCharType="separate"/>
            </w:r>
            <w:r>
              <w:rPr>
                <w:rFonts w:ascii="Times New Roman" w:hAnsi="Times New Roman" w:eastAsia="Times New Roman" w:cs="Times New Roman"/>
                <w:color w:val="0000FF"/>
                <w:sz w:val="24"/>
                <w:szCs w:val="24"/>
                <w:u w:val="single"/>
                <w:lang w:eastAsia="ru-RU"/>
              </w:rPr>
              <w:t>СК России</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по Тульской области (по согласованию), прокуратура Тульской области (по согласованию), министерство по региональной безопасности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и трансляция телепрограмм, публикаций, направленных на укрепление общероссийского гражданского единства и гармонизацию межнациональных отношений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 государственные учреждения, подведомственные комитету Тульской области по печати и массовым коммуникациям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Подготовка и размещение тематических страниц на ресурсах печатных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и трансляция дискуссионных теле- и радиопередач по вопросам национально-культурного сотрудничества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фотоконкурса среди региональных средств массовой информации на тему "Тула многонациональная", приуроченного ко Дню народного единства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конкурса на лучшую журналистскую работу на тему "Мы разные, но мы вместе", приуроченного ко Дню народного единства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встреч, "круглых столов" с представителями национальных общественных объединений и этнических диаспор Тульской области с участием журналистов региональных средств массовой информации по вопросам формирования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внутренней политики и развития местного самоуправления в Тульской области, заместитель председателя Правительства Тульской области организующий реализацию государственной политики в сфере общего, среднего профессионального, дополнительного образования и профессионального обучения, государственной молодежной политики, комитет Тульской области по печати и массовым коммуникациям, министерство культуры Тульской области, министерство молодежной политики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обучающих семинаров для сотрудников редакций средств массовой информации Тульской области, специализирующихся на подготовке материалов, посвященных межнациональным и межконфессиональным отношениям</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и продвижение видеороликов по профилактике экстремизма среди молодежи для размещения в информационно-коммуникационной сети "Интернет"</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молодежной политики Тульской области, государственные учреждения, подведомственные министерству молодежной политики Тульской области (по согласованию)</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Мероприятия в сфере образования и государственной молодежной политики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комплекса предупредительно-профилактических и воспитательных мероприятий по информационному противодействию экстремизму в подростково-молодежной среде, используя в качестве "площадок" для осуществления работы проведение встреч, конференций, "круглых столов", семинаров по тематике профилактики экстремизма, с привлечением к участию в них представителей общественных объединений, религиозных организаций Тульской области, правоохранительных органов, ветеранов Вооруженных Сил, участников боевых действий, участников СВО</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образования Тульской области, министерство молодежной политики Тульской области, министерство культуры Тульской области, администрации муниципальных образований Тульской области (по согласованию), образовательные организации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в образовательных организациях лекций и бесед по профилактике экстремизма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образования Тульской области, министерство культуры Тульской области, УМВД России по Тульской области (по согласованию),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кинолекториев для школьников Тульской области "Противодействие экстремизму" с показом документальных фильмов по указанной тематике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совместных мероприятий с национальными диаспорами Тульской области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молодежной политики Тульской области, министерство культуры Тульской области, министерство внутренней политики и развития местного самоуправления в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взаимодействия с автономной некоммерческой организацией "Центр изучения и сетевого мониторинга молодежной среды" в части обмена сведениями об активности молодежи в региональном сегменте сети "Интернет", изучающей и распространяющей террористический и другой деструктивный контент"</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молодежной политики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и проведение курсов повышения квалификации педагогических и руководящих работников по дополнительной профессиональной программе "Профилактика правонарушений несовершеннолетних", внедрение новых образовательных стандартов и педагогических методик, направленных на противодействие экстремизму</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образования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Изучение практики борьбы с распространением негативных этнических и религиозных стереотипов среди молодежи. Поиск и внедрение новых форм (методик) патриотического и гражданского воспитания</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УМВД России по Тульской области (по согласованию), прокуратура Тульской области (по согласованию), министерство образования Тульской области, министерство молодежной политики Тульской области</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Мероприятия в сфере государственной культурной политики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тематических экскурсий и выставок, практических занятий и мастер-классов, медиауроков и викторин, творческих вечеров и вечеров памяти, циклов мероприятий, направленных на раскрытие многообразия национальных культур, распространение знаний о народах России, формирование патриотизма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 министерство молодежной политики Тульской области, министерство образования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Межрегионального фестиваля национальных культур "Страна в миниатюре"</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книжных выставок, посвященных идее исторического единства народов Российской Федерации, профилактике сепаратизма и экстремизма</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 государственные (муниципальные) библиотеки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концертно-игровой программы "Национальный калейдоскоп"</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областного фестиваля-конкурса национальных игр "Бояре, а мы к вам пришли"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Проведение праздника "Навруз"</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Мероприятия в сфере международного сотрудничества</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международного, межкультурного и межконфессионального взаимодействия, в том числе с использованием каналов гуманитарного обмена, как эффективного средства противодействия распространению экстремистской идеологии</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w:t>
            </w:r>
          </w:p>
        </w:tc>
      </w:tr>
      <w:tr>
        <w:tblPrEx>
          <w:tblCellMar>
            <w:top w:w="0" w:type="dxa"/>
            <w:left w:w="0" w:type="dxa"/>
            <w:bottom w:w="0" w:type="dxa"/>
            <w:right w:w="0" w:type="dxa"/>
          </w:tblCellMar>
        </w:tblPrEx>
        <w:tc>
          <w:tcPr>
            <w:tcW w:w="942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Мероприятия в сфере обеспечения участия институтов гражданского общества в реализации государственной политики в сфере противодействия экстремизму</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Поддержка институтов гражданского общества, деятельность которых направлена на профилактику экстремистских проявлений, использование их потенциала в целях патриотического воспитания граждан, формирования в обществе атмосферы нетерпимости к экстремистской деятельности, неприятия экстремистской идеологии и применения насилия для достижения политических, идеологических, религиозных и иных целей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 министерство молодежной политики Тульской области, администрации муниципальных образований Тульской области (по согласованию), министерство внутренней политики и развития местного самоуправления в Тульской области</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Привлечение социально ориентированных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и патриотическое воспитание молодежи, профилактику социально опасного поведения граждан и содействие духовно-нравственному развитию личности, оказание поддержки в сфере профилактики экстремизма, духовно-нравственного воспитания, укрепления межнациональных, межэтнических и межконфессиональных отношений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труда и социальной защиты Тульской области, министерство внутренней политики и развития местного самоуправления в Тульской области, министерство образования Тульской области, министерство молодежной политики Тульской области, министерство культуры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Участие общественных советов и иных консультативных органов, созданных при органах исполнительной власти Тульской области и органах местного самоуправления в Тульской области, в деятельности по гармонизации межнациональных (межэтнических) и межконфессиональных отношений</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Министерство культуры Тульской области, министерство труда и социальной защиты Тульской области, министерство внутренней политики и развития местного самоуправления в Тульской области, министерство образования Тульской области, министерство молодежной политики Тульской области, администрации муниципальных образований Тульской области (по согласованию)</w:t>
            </w:r>
          </w:p>
        </w:tc>
      </w:tr>
      <w:tr>
        <w:tblPrEx>
          <w:tblCellMar>
            <w:top w:w="0" w:type="dxa"/>
            <w:left w:w="0" w:type="dxa"/>
            <w:bottom w:w="0" w:type="dxa"/>
            <w:right w:w="0" w:type="dxa"/>
          </w:tblCellMar>
        </w:tblPrEx>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w:t>
            </w:r>
          </w:p>
        </w:tc>
        <w:tc>
          <w:tcPr>
            <w:tcW w:w="314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Оказание содействия средствам массовой информации в широком и объективном освещении деятельности субъектов противодействия экстремизму</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2024 год</w:t>
            </w:r>
          </w:p>
        </w:tc>
        <w:tc>
          <w:tcPr>
            <w:tcW w:w="443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Комитет Тульской области по печати и массовым коммуникациям</w:t>
            </w:r>
          </w:p>
        </w:tc>
      </w:tr>
    </w:tbl>
    <w:p>
      <w:pPr>
        <w:spacing w:after="0" w:line="240" w:lineRule="auto"/>
        <w:textAlignment w:val="baseline"/>
        <w:rPr>
          <w:rFonts w:ascii="Arial" w:hAnsi="Arial" w:eastAsia="Times New Roman" w:cs="Arial"/>
          <w:color w:val="FFFFFF"/>
          <w:sz w:val="23"/>
          <w:szCs w:val="23"/>
          <w:lang w:eastAsia="ru-RU"/>
        </w:rPr>
      </w:pPr>
      <w:r>
        <w:rPr>
          <w:rFonts w:ascii="Arial" w:hAnsi="Arial" w:eastAsia="Times New Roman" w:cs="Arial"/>
          <w:color w:val="FFFFFF"/>
          <w:sz w:val="23"/>
          <w:szCs w:val="23"/>
          <w:lang w:eastAsia="ru-RU"/>
        </w:rPr>
        <w:t> </w:t>
      </w:r>
    </w:p>
    <w:p>
      <w:pPr>
        <w:spacing w:after="0" w:line="240" w:lineRule="atLeast"/>
        <w:textAlignment w:val="baseline"/>
        <w:rPr>
          <w:rFonts w:ascii="Arial" w:hAnsi="Arial" w:eastAsia="Times New Roman" w:cs="Arial"/>
          <w:color w:val="FFFFFF"/>
          <w:sz w:val="21"/>
          <w:szCs w:val="21"/>
          <w:lang w:eastAsia="ru-RU"/>
        </w:rPr>
      </w:pPr>
      <w:r>
        <w:rPr>
          <w:rFonts w:ascii="Arial" w:hAnsi="Arial" w:eastAsia="Times New Roman" w:cs="Arial"/>
          <w:color w:val="FFFFFF"/>
          <w:sz w:val="21"/>
          <w:szCs w:val="21"/>
          <w:lang w:eastAsia="ru-RU"/>
        </w:rPr>
        <w:t>Этот документ входит в профессиональные</w:t>
      </w:r>
      <w:r>
        <w:rPr>
          <w:rFonts w:ascii="Arial" w:hAnsi="Arial" w:eastAsia="Times New Roman" w:cs="Arial"/>
          <w:color w:val="FFFFFF"/>
          <w:sz w:val="21"/>
          <w:szCs w:val="21"/>
          <w:lang w:eastAsia="ru-RU"/>
        </w:rPr>
        <w:br w:type="textWrapping"/>
      </w:r>
      <w:r>
        <w:rPr>
          <w:rFonts w:ascii="Arial" w:hAnsi="Arial" w:eastAsia="Times New Roman" w:cs="Arial"/>
          <w:color w:val="FFFFFF"/>
          <w:sz w:val="21"/>
          <w:szCs w:val="21"/>
          <w:lang w:eastAsia="ru-RU"/>
        </w:rPr>
        <w:t>справочные системы «</w:t>
      </w:r>
      <w:r>
        <w:fldChar w:fldCharType="begin"/>
      </w:r>
      <w:r>
        <w:instrText xml:space="preserve"> HYPERLINK "https://kodeks.ru/" </w:instrText>
      </w:r>
      <w:r>
        <w:fldChar w:fldCharType="separate"/>
      </w:r>
      <w:r>
        <w:rPr>
          <w:rFonts w:ascii="Arial" w:hAnsi="Arial" w:eastAsia="Times New Roman" w:cs="Arial"/>
          <w:color w:val="FFFFFF"/>
          <w:sz w:val="21"/>
          <w:szCs w:val="21"/>
          <w:lang w:eastAsia="ru-RU"/>
        </w:rPr>
        <w:t>Кодекс</w:t>
      </w:r>
      <w:r>
        <w:rPr>
          <w:rFonts w:ascii="Arial" w:hAnsi="Arial" w:eastAsia="Times New Roman" w:cs="Arial"/>
          <w:color w:val="FFFFFF"/>
          <w:sz w:val="21"/>
          <w:szCs w:val="21"/>
          <w:lang w:eastAsia="ru-RU"/>
        </w:rPr>
        <w:fldChar w:fldCharType="end"/>
      </w:r>
      <w:r>
        <w:rPr>
          <w:rFonts w:ascii="Arial" w:hAnsi="Arial" w:eastAsia="Times New Roman" w:cs="Arial"/>
          <w:color w:val="FFFFFF"/>
          <w:sz w:val="21"/>
          <w:szCs w:val="21"/>
          <w:lang w:eastAsia="ru-RU"/>
        </w:rPr>
        <w:t>» и  «</w:t>
      </w:r>
      <w:r>
        <w:rPr>
          <w:rFonts w:ascii="Arial" w:hAnsi="Arial" w:eastAsia="Times New Roman" w:cs="Arial"/>
          <w:color w:val="FFFFFF"/>
          <w:sz w:val="21"/>
          <w:szCs w:val="21"/>
          <w:lang w:eastAsia="ru-RU"/>
        </w:rPr>
        <w:fldChar w:fldCharType="begin"/>
      </w:r>
      <w:r>
        <w:rPr>
          <w:rFonts w:ascii="Arial" w:hAnsi="Arial" w:eastAsia="Times New Roman" w:cs="Arial"/>
          <w:color w:val="FFFFFF"/>
          <w:sz w:val="21"/>
          <w:szCs w:val="21"/>
          <w:lang w:eastAsia="ru-RU"/>
        </w:rPr>
        <w:instrText xml:space="preserve"> HYPERLINK "https://cntd.ru/" </w:instrText>
      </w:r>
      <w:r>
        <w:rPr>
          <w:rFonts w:ascii="Arial" w:hAnsi="Arial" w:eastAsia="Times New Roman" w:cs="Arial"/>
          <w:color w:val="FFFFFF"/>
          <w:sz w:val="21"/>
          <w:szCs w:val="21"/>
          <w:lang w:eastAsia="ru-RU"/>
        </w:rPr>
        <w:fldChar w:fldCharType="separate"/>
      </w:r>
      <w:r>
        <w:rPr>
          <w:rFonts w:ascii="Arial" w:hAnsi="Arial" w:eastAsia="Times New Roman" w:cs="Arial"/>
          <w:color w:val="FFFFFF"/>
          <w:sz w:val="21"/>
          <w:szCs w:val="21"/>
          <w:lang w:eastAsia="ru-RU"/>
        </w:rPr>
        <w:t>Техэксперт</w:t>
      </w:r>
      <w:r>
        <w:rPr>
          <w:rFonts w:ascii="Arial" w:hAnsi="Arial" w:eastAsia="Times New Roman" w:cs="Arial"/>
          <w:color w:val="FFFFFF"/>
          <w:sz w:val="21"/>
          <w:szCs w:val="21"/>
          <w:lang w:eastAsia="ru-RU"/>
        </w:rPr>
        <w:fldChar w:fldCharType="end"/>
      </w:r>
      <w:r>
        <w:rPr>
          <w:rFonts w:ascii="Arial" w:hAnsi="Arial" w:eastAsia="Times New Roman" w:cs="Arial"/>
          <w:color w:val="FFFFFF"/>
          <w:sz w:val="21"/>
          <w:szCs w:val="21"/>
          <w:lang w:eastAsia="ru-RU"/>
        </w:rPr>
        <w:t>»</w:t>
      </w:r>
    </w:p>
    <w:p>
      <w:pPr>
        <w:spacing w:after="0" w:line="240" w:lineRule="auto"/>
        <w:textAlignment w:val="baseline"/>
        <w:rPr>
          <w:rFonts w:ascii="Arial" w:hAnsi="Arial" w:eastAsia="Times New Roman" w:cs="Arial"/>
          <w:color w:val="FFFFFF"/>
          <w:sz w:val="23"/>
          <w:szCs w:val="23"/>
          <w:lang w:eastAsia="ru-RU"/>
        </w:rPr>
      </w:pPr>
      <w:r>
        <w:rPr>
          <w:rFonts w:ascii="Arial" w:hAnsi="Arial" w:eastAsia="Times New Roman" w:cs="Arial"/>
          <w:color w:val="FFFFFF"/>
          <w:sz w:val="23"/>
          <w:szCs w:val="23"/>
          <w:lang w:eastAsia="ru-RU"/>
        </w:rPr>
        <w:t>Бесплатная демонстрация систем</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5"/>
    <w:rsid w:val="00AF5435"/>
    <w:rsid w:val="00C923DB"/>
    <w:rsid w:val="78064A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4517</Words>
  <Characters>25751</Characters>
  <Lines>214</Lines>
  <Paragraphs>60</Paragraphs>
  <TotalTime>1</TotalTime>
  <ScaleCrop>false</ScaleCrop>
  <LinksUpToDate>false</LinksUpToDate>
  <CharactersWithSpaces>30208</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2024-04-05T09:53:00Z</dcterms:created>
  <dc:creator>МКДОУ 10</dc:creator>
  <cp:lastModifiedBy>Наталья Гулякин�</cp:lastModifiedBy>
  <dcterms:modified xsi:type="dcterms:W3CDTF">2024-04-05T11:01:02Z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F7E339FD63D94A43B4E2FFD2585A8519_13</vt:lpwstr>
  </property>
</Properties>
</file>